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b/>
          <w:b/>
          <w:sz w:val="28"/>
          <w:szCs w:val="28"/>
        </w:rPr>
      </w:pPr>
      <w:r>
        <w:rPr>
          <w:rFonts w:ascii="Times New Roman" w:hAnsi="Times New Roman"/>
          <w:b/>
          <w:sz w:val="28"/>
          <w:szCs w:val="28"/>
        </w:rPr>
        <w:t>АДМИНИСТРАЦИЯ</w:t>
      </w:r>
    </w:p>
    <w:p>
      <w:pPr>
        <w:pStyle w:val="Normal"/>
        <w:spacing w:lineRule="auto" w:line="240" w:before="0" w:after="0"/>
        <w:jc w:val="center"/>
        <w:rPr>
          <w:rFonts w:ascii="Times New Roman" w:hAnsi="Times New Roman"/>
          <w:b/>
          <w:b/>
          <w:sz w:val="28"/>
          <w:szCs w:val="28"/>
        </w:rPr>
      </w:pPr>
      <w:r>
        <w:rPr>
          <w:rFonts w:ascii="Times New Roman" w:hAnsi="Times New Roman"/>
          <w:b/>
          <w:sz w:val="28"/>
          <w:szCs w:val="28"/>
        </w:rPr>
        <w:t xml:space="preserve"> </w:t>
      </w:r>
      <w:r>
        <w:rPr>
          <w:rFonts w:ascii="Times New Roman" w:hAnsi="Times New Roman"/>
          <w:b/>
          <w:sz w:val="28"/>
          <w:szCs w:val="28"/>
        </w:rPr>
        <w:t>ВЕРХНЕЛЮБАЖСКОГО СЕЛЬСОВЕТА</w:t>
      </w:r>
    </w:p>
    <w:p>
      <w:pPr>
        <w:pStyle w:val="Normal"/>
        <w:spacing w:lineRule="auto" w:line="240" w:before="0" w:after="0"/>
        <w:jc w:val="center"/>
        <w:rPr>
          <w:rFonts w:ascii="Times New Roman" w:hAnsi="Times New Roman"/>
          <w:b/>
          <w:b/>
          <w:sz w:val="28"/>
          <w:szCs w:val="28"/>
        </w:rPr>
      </w:pPr>
      <w:r>
        <w:rPr>
          <w:rFonts w:ascii="Times New Roman" w:hAnsi="Times New Roman"/>
          <w:b/>
          <w:sz w:val="28"/>
          <w:szCs w:val="28"/>
        </w:rPr>
        <w:t xml:space="preserve"> </w:t>
      </w:r>
      <w:r>
        <w:rPr>
          <w:rFonts w:ascii="Times New Roman" w:hAnsi="Times New Roman"/>
          <w:b/>
          <w:sz w:val="28"/>
          <w:szCs w:val="28"/>
        </w:rPr>
        <w:t xml:space="preserve">ФАТЕЖСКОГО РАЙОНА </w:t>
      </w:r>
    </w:p>
    <w:p>
      <w:pPr>
        <w:pStyle w:val="Normal"/>
        <w:spacing w:lineRule="auto" w:line="240" w:before="0" w:after="0"/>
        <w:jc w:val="center"/>
        <w:rPr>
          <w:rFonts w:ascii="Times New Roman" w:hAnsi="Times New Roman"/>
          <w:b/>
          <w:b/>
          <w:sz w:val="28"/>
          <w:szCs w:val="28"/>
        </w:rPr>
      </w:pPr>
      <w:r>
        <w:rPr>
          <w:rFonts w:ascii="Times New Roman" w:hAnsi="Times New Roman"/>
          <w:b/>
          <w:sz w:val="28"/>
          <w:szCs w:val="28"/>
        </w:rPr>
      </w:r>
    </w:p>
    <w:p>
      <w:pPr>
        <w:pStyle w:val="Normal"/>
        <w:spacing w:lineRule="auto" w:line="240" w:before="0" w:after="0"/>
        <w:jc w:val="center"/>
        <w:rPr>
          <w:rFonts w:ascii="Times New Roman" w:hAnsi="Times New Roman"/>
          <w:b/>
          <w:b/>
          <w:sz w:val="28"/>
          <w:szCs w:val="28"/>
        </w:rPr>
      </w:pPr>
      <w:r>
        <w:rPr>
          <w:rFonts w:ascii="Times New Roman" w:hAnsi="Times New Roman"/>
          <w:b/>
          <w:sz w:val="28"/>
          <w:szCs w:val="28"/>
        </w:rPr>
        <w:t>РАСПОРЯЖЕНИЕ</w:t>
      </w:r>
    </w:p>
    <w:p>
      <w:pPr>
        <w:pStyle w:val="Normal"/>
        <w:spacing w:lineRule="auto" w:line="240" w:before="0" w:after="0"/>
        <w:jc w:val="center"/>
        <w:rPr>
          <w:rFonts w:ascii="Times New Roman" w:hAnsi="Times New Roman"/>
          <w:b/>
          <w:b/>
          <w:sz w:val="28"/>
          <w:szCs w:val="28"/>
        </w:rPr>
      </w:pPr>
      <w:r>
        <w:rPr>
          <w:rFonts w:ascii="Times New Roman" w:hAnsi="Times New Roman"/>
          <w:b/>
          <w:sz w:val="28"/>
          <w:szCs w:val="28"/>
        </w:rPr>
      </w:r>
    </w:p>
    <w:p>
      <w:pPr>
        <w:pStyle w:val="Normal"/>
        <w:spacing w:lineRule="auto" w:line="240" w:before="0" w:after="0"/>
        <w:jc w:val="both"/>
        <w:rPr>
          <w:rFonts w:ascii="Times New Roman" w:hAnsi="Times New Roman"/>
          <w:b/>
          <w:b/>
          <w:sz w:val="28"/>
          <w:szCs w:val="28"/>
        </w:rPr>
      </w:pPr>
      <w:r>
        <w:rPr>
          <w:rFonts w:ascii="Times New Roman" w:hAnsi="Times New Roman"/>
          <w:b/>
          <w:sz w:val="28"/>
          <w:szCs w:val="28"/>
        </w:rPr>
      </w:r>
    </w:p>
    <w:p>
      <w:pPr>
        <w:pStyle w:val="Normal"/>
        <w:spacing w:lineRule="auto" w:line="240" w:before="0" w:after="0"/>
        <w:jc w:val="both"/>
        <w:rPr>
          <w:rFonts w:ascii="Times New Roman" w:hAnsi="Times New Roman"/>
          <w:b/>
          <w:b/>
          <w:sz w:val="28"/>
          <w:szCs w:val="28"/>
        </w:rPr>
      </w:pPr>
      <w:r>
        <w:rPr>
          <w:rFonts w:ascii="Times New Roman" w:hAnsi="Times New Roman"/>
          <w:b/>
          <w:color w:val="000000"/>
          <w:sz w:val="28"/>
          <w:szCs w:val="28"/>
        </w:rPr>
        <w:t>от 15 октября  2019 года                                                                        №  64</w:t>
      </w:r>
    </w:p>
    <w:p>
      <w:pPr>
        <w:pStyle w:val="Normal"/>
        <w:spacing w:lineRule="auto" w:line="240" w:before="0" w:after="0"/>
        <w:jc w:val="both"/>
        <w:rPr>
          <w:rFonts w:ascii="Times New Roman" w:hAnsi="Times New Roman"/>
          <w:b/>
          <w:b/>
          <w:sz w:val="28"/>
          <w:szCs w:val="28"/>
        </w:rPr>
      </w:pPr>
      <w:r>
        <w:rPr>
          <w:rFonts w:ascii="Times New Roman" w:hAnsi="Times New Roman"/>
          <w:b/>
          <w:sz w:val="28"/>
          <w:szCs w:val="28"/>
        </w:rPr>
      </w:r>
    </w:p>
    <w:p>
      <w:pPr>
        <w:pStyle w:val="ConsPlusTitle"/>
        <w:ind w:left="4111" w:hanging="4111"/>
        <w:jc w:val="both"/>
        <w:rPr>
          <w:rFonts w:ascii="Times New Roman" w:hAnsi="Times New Roman" w:cs="Times New Roman"/>
          <w:sz w:val="28"/>
          <w:szCs w:val="28"/>
        </w:rPr>
      </w:pPr>
      <w:r>
        <w:rPr>
          <w:rFonts w:cs="Times New Roman" w:ascii="Times New Roman" w:hAnsi="Times New Roman"/>
          <w:sz w:val="28"/>
          <w:szCs w:val="28"/>
        </w:rPr>
        <w:t xml:space="preserve">Об утверждении методики </w:t>
      </w:r>
    </w:p>
    <w:p>
      <w:pPr>
        <w:pStyle w:val="ConsPlusTitle"/>
        <w:ind w:left="4111" w:hanging="4111"/>
        <w:jc w:val="both"/>
        <w:rPr>
          <w:rFonts w:ascii="Times New Roman" w:hAnsi="Times New Roman" w:cs="Times New Roman"/>
          <w:sz w:val="28"/>
          <w:szCs w:val="28"/>
        </w:rPr>
      </w:pPr>
      <w:r>
        <w:rPr>
          <w:rFonts w:cs="Times New Roman" w:ascii="Times New Roman" w:hAnsi="Times New Roman"/>
          <w:sz w:val="28"/>
          <w:szCs w:val="28"/>
        </w:rPr>
        <w:t xml:space="preserve">прогнозирования поступлений </w:t>
      </w:r>
    </w:p>
    <w:p>
      <w:pPr>
        <w:pStyle w:val="ConsPlusTitle"/>
        <w:ind w:left="4111" w:hanging="4111"/>
        <w:jc w:val="both"/>
        <w:rPr>
          <w:rFonts w:ascii="Times New Roman" w:hAnsi="Times New Roman" w:cs="Times New Roman"/>
          <w:sz w:val="28"/>
          <w:szCs w:val="28"/>
        </w:rPr>
      </w:pPr>
      <w:r>
        <w:rPr>
          <w:rFonts w:cs="Times New Roman" w:ascii="Times New Roman" w:hAnsi="Times New Roman"/>
          <w:sz w:val="28"/>
          <w:szCs w:val="28"/>
        </w:rPr>
        <w:t xml:space="preserve">по источникам финансирования </w:t>
      </w:r>
    </w:p>
    <w:p>
      <w:pPr>
        <w:pStyle w:val="ConsPlusTitle"/>
        <w:ind w:left="4111" w:hanging="4111"/>
        <w:jc w:val="both"/>
        <w:rPr>
          <w:rFonts w:ascii="Times New Roman" w:hAnsi="Times New Roman" w:cs="Times New Roman"/>
          <w:sz w:val="28"/>
          <w:szCs w:val="28"/>
        </w:rPr>
      </w:pPr>
      <w:r>
        <w:rPr>
          <w:rFonts w:cs="Times New Roman" w:ascii="Times New Roman" w:hAnsi="Times New Roman"/>
          <w:sz w:val="28"/>
          <w:szCs w:val="28"/>
        </w:rPr>
        <w:t>дефицита бюджета муниципального</w:t>
      </w:r>
    </w:p>
    <w:p>
      <w:pPr>
        <w:pStyle w:val="ConsPlusTitle"/>
        <w:ind w:left="4111" w:hanging="4111"/>
        <w:jc w:val="both"/>
        <w:rPr>
          <w:rFonts w:ascii="Times New Roman" w:hAnsi="Times New Roman" w:cs="Times New Roman"/>
          <w:sz w:val="28"/>
          <w:szCs w:val="28"/>
        </w:rPr>
      </w:pPr>
      <w:r>
        <w:rPr>
          <w:rFonts w:cs="Times New Roman" w:ascii="Times New Roman" w:hAnsi="Times New Roman"/>
          <w:sz w:val="28"/>
          <w:szCs w:val="28"/>
        </w:rPr>
        <w:t>образования «Верхнелюбажский сельсовет»</w:t>
      </w:r>
    </w:p>
    <w:p>
      <w:pPr>
        <w:pStyle w:val="ConsPlusTitle"/>
        <w:ind w:left="4111" w:hanging="4111"/>
        <w:jc w:val="both"/>
        <w:rPr>
          <w:rFonts w:ascii="Times New Roman" w:hAnsi="Times New Roman" w:cs="Times New Roman"/>
          <w:sz w:val="28"/>
          <w:szCs w:val="28"/>
        </w:rPr>
      </w:pPr>
      <w:r>
        <w:rPr>
          <w:rFonts w:cs="Times New Roman" w:ascii="Times New Roman" w:hAnsi="Times New Roman"/>
          <w:sz w:val="28"/>
          <w:szCs w:val="28"/>
        </w:rPr>
        <w:t>Фатежского района Курской области</w:t>
      </w:r>
    </w:p>
    <w:p>
      <w:pPr>
        <w:pStyle w:val="ConsPlusTitle"/>
        <w:ind w:left="4111" w:hanging="4111"/>
        <w:jc w:val="both"/>
        <w:rPr>
          <w:rFonts w:ascii="Times New Roman" w:hAnsi="Times New Roman" w:cs="Times New Roman"/>
          <w:b w:val="false"/>
          <w:b w:val="false"/>
        </w:rPr>
      </w:pPr>
      <w:r>
        <w:rPr>
          <w:rFonts w:cs="Times New Roman" w:ascii="Times New Roman" w:hAnsi="Times New Roman"/>
          <w:b w:val="false"/>
        </w:rPr>
      </w:r>
    </w:p>
    <w:p>
      <w:pPr>
        <w:pStyle w:val="ConsPlusNormal"/>
        <w:ind w:firstLine="540"/>
        <w:jc w:val="both"/>
        <w:rPr/>
      </w:pPr>
      <w:r>
        <w:rPr>
          <w:rFonts w:cs="Times New Roman" w:ascii="Times New Roman" w:hAnsi="Times New Roman"/>
          <w:sz w:val="28"/>
          <w:szCs w:val="28"/>
        </w:rPr>
        <w:t xml:space="preserve">В соответствии с </w:t>
      </w:r>
      <w:hyperlink r:id="rId2">
        <w:r>
          <w:rPr>
            <w:rStyle w:val="Style15"/>
            <w:rFonts w:cs="Times New Roman" w:ascii="Times New Roman" w:hAnsi="Times New Roman"/>
            <w:color w:val="00000A"/>
            <w:sz w:val="28"/>
            <w:szCs w:val="28"/>
            <w:u w:val="none"/>
          </w:rPr>
          <w:t>пунктом 1 статьи 160.2</w:t>
        </w:r>
      </w:hyperlink>
      <w:r>
        <w:rPr>
          <w:rFonts w:cs="Times New Roman" w:ascii="Times New Roman" w:hAnsi="Times New Roman"/>
          <w:color w:val="00000A"/>
          <w:sz w:val="28"/>
          <w:szCs w:val="28"/>
        </w:rPr>
        <w:t xml:space="preserve"> </w:t>
      </w:r>
      <w:r>
        <w:rPr>
          <w:rFonts w:cs="Times New Roman" w:ascii="Times New Roman" w:hAnsi="Times New Roman"/>
          <w:sz w:val="28"/>
          <w:szCs w:val="28"/>
        </w:rPr>
        <w:t>Бюджетного кодекса Российской Федерации и Общими требованиями к методике прогнозирования поступлений по источникам финансирования дефицита бюджета, утвержденными постановлением Правительства Российской Федерации от 26.05.2016 № 469</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1. Утвердить методику прогнозирования поступлений по источникам финансирования дефицита бюджета муниципального образования «Верхнелюбажский сельсовет» Фатежского района Курской области, согласно приложению к настоящему приказу.</w:t>
      </w:r>
    </w:p>
    <w:p>
      <w:pPr>
        <w:pStyle w:val="ConsPlusNormal"/>
        <w:ind w:firstLine="540"/>
        <w:jc w:val="both"/>
        <w:rPr>
          <w:rFonts w:ascii="Times New Roman" w:hAnsi="Times New Roman" w:cs="Times New Roman"/>
          <w:sz w:val="28"/>
          <w:szCs w:val="28"/>
        </w:rPr>
      </w:pPr>
      <w:bookmarkStart w:id="0" w:name="P12"/>
      <w:bookmarkEnd w:id="0"/>
      <w:r>
        <w:rPr>
          <w:rFonts w:cs="Times New Roman" w:ascii="Times New Roman" w:hAnsi="Times New Roman"/>
          <w:sz w:val="28"/>
          <w:szCs w:val="28"/>
        </w:rPr>
        <w:t>2. Контроль за исполнением настоящего распоряжения возложить на      начальника отдела Администрации Верхнелюбажского сельсовета Фатежского района  Н. В. Алехину.</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ind w:hanging="0"/>
        <w:jc w:val="both"/>
        <w:rPr>
          <w:rFonts w:ascii="Times New Roman" w:hAnsi="Times New Roman" w:cs="Times New Roman"/>
          <w:sz w:val="28"/>
          <w:szCs w:val="28"/>
        </w:rPr>
      </w:pPr>
      <w:r>
        <w:rPr>
          <w:rFonts w:cs="Times New Roman" w:ascii="Times New Roman" w:hAnsi="Times New Roman"/>
          <w:sz w:val="28"/>
          <w:szCs w:val="28"/>
        </w:rPr>
        <w:t>Глава Верхнелюбажского сельсовета</w:t>
      </w:r>
    </w:p>
    <w:p>
      <w:pPr>
        <w:pStyle w:val="ConsPlusNormal"/>
        <w:ind w:hanging="0"/>
        <w:jc w:val="both"/>
        <w:rPr>
          <w:rFonts w:ascii="Times New Roman" w:hAnsi="Times New Roman" w:cs="Times New Roman"/>
          <w:sz w:val="28"/>
          <w:szCs w:val="28"/>
        </w:rPr>
      </w:pPr>
      <w:r>
        <w:rPr>
          <w:rFonts w:cs="Times New Roman" w:ascii="Times New Roman" w:hAnsi="Times New Roman"/>
          <w:sz w:val="28"/>
          <w:szCs w:val="28"/>
        </w:rPr>
        <w:t xml:space="preserve">Фатежского района                                                               Е. М. Чуйкова  </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ind w:hanging="0"/>
        <w:jc w:val="right"/>
        <w:rPr>
          <w:rFonts w:ascii="Times New Roman" w:hAnsi="Times New Roman" w:cs="Times New Roman"/>
          <w:sz w:val="28"/>
          <w:szCs w:val="28"/>
        </w:rPr>
      </w:pPr>
      <w:r>
        <w:rPr>
          <w:rFonts w:cs="Times New Roman" w:ascii="Times New Roman" w:hAnsi="Times New Roman"/>
          <w:sz w:val="28"/>
          <w:szCs w:val="28"/>
        </w:rPr>
      </w:r>
    </w:p>
    <w:p>
      <w:pPr>
        <w:pStyle w:val="ConsPlusNormal"/>
        <w:ind w:hanging="0"/>
        <w:jc w:val="right"/>
        <w:rPr>
          <w:rFonts w:ascii="Times New Roman" w:hAnsi="Times New Roman" w:cs="Times New Roman"/>
          <w:sz w:val="28"/>
          <w:szCs w:val="28"/>
        </w:rPr>
      </w:pPr>
      <w:r>
        <w:rPr>
          <w:rFonts w:cs="Times New Roman" w:ascii="Times New Roman" w:hAnsi="Times New Roman"/>
          <w:sz w:val="28"/>
          <w:szCs w:val="28"/>
        </w:rPr>
      </w:r>
    </w:p>
    <w:p>
      <w:pPr>
        <w:pStyle w:val="ConsPlusNormal"/>
        <w:ind w:hanging="0"/>
        <w:jc w:val="right"/>
        <w:rPr>
          <w:rFonts w:ascii="Times New Roman" w:hAnsi="Times New Roman" w:cs="Times New Roman"/>
          <w:sz w:val="24"/>
          <w:szCs w:val="24"/>
        </w:rPr>
      </w:pPr>
      <w:r>
        <w:rPr>
          <w:rFonts w:cs="Times New Roman" w:ascii="Times New Roman" w:hAnsi="Times New Roman"/>
          <w:sz w:val="24"/>
          <w:szCs w:val="24"/>
        </w:rPr>
      </w:r>
    </w:p>
    <w:p>
      <w:pPr>
        <w:pStyle w:val="ConsPlusNormal"/>
        <w:ind w:hanging="0"/>
        <w:jc w:val="right"/>
        <w:rPr>
          <w:rFonts w:ascii="Times New Roman" w:hAnsi="Times New Roman" w:cs="Times New Roman"/>
          <w:sz w:val="24"/>
          <w:szCs w:val="24"/>
        </w:rPr>
      </w:pPr>
      <w:r>
        <w:rPr>
          <w:rFonts w:cs="Times New Roman" w:ascii="Times New Roman" w:hAnsi="Times New Roman"/>
          <w:sz w:val="24"/>
          <w:szCs w:val="24"/>
        </w:rPr>
        <w:t>Утверждена</w:t>
      </w:r>
    </w:p>
    <w:p>
      <w:pPr>
        <w:pStyle w:val="ConsPlusNormal"/>
        <w:jc w:val="right"/>
        <w:rPr>
          <w:rFonts w:ascii="Times New Roman" w:hAnsi="Times New Roman" w:cs="Times New Roman"/>
          <w:sz w:val="24"/>
          <w:szCs w:val="24"/>
        </w:rPr>
      </w:pPr>
      <w:r>
        <w:rPr>
          <w:rFonts w:cs="Times New Roman" w:ascii="Times New Roman" w:hAnsi="Times New Roman"/>
          <w:sz w:val="24"/>
          <w:szCs w:val="24"/>
        </w:rPr>
        <w:t>распоряжением  администрации</w:t>
      </w:r>
    </w:p>
    <w:p>
      <w:pPr>
        <w:pStyle w:val="ConsPlusNormal"/>
        <w:jc w:val="right"/>
        <w:rPr>
          <w:rFonts w:ascii="Times New Roman" w:hAnsi="Times New Roman" w:cs="Times New Roman"/>
          <w:sz w:val="24"/>
          <w:szCs w:val="24"/>
        </w:rPr>
      </w:pPr>
      <w:r>
        <w:rPr>
          <w:rFonts w:cs="Times New Roman" w:ascii="Times New Roman" w:hAnsi="Times New Roman"/>
          <w:sz w:val="24"/>
          <w:szCs w:val="24"/>
        </w:rPr>
        <w:t xml:space="preserve">Верхнелюбажского сельсовета </w:t>
      </w:r>
    </w:p>
    <w:p>
      <w:pPr>
        <w:pStyle w:val="ConsPlusNormal"/>
        <w:jc w:val="right"/>
        <w:rPr>
          <w:rFonts w:ascii="Times New Roman" w:hAnsi="Times New Roman" w:cs="Times New Roman"/>
          <w:sz w:val="24"/>
          <w:szCs w:val="24"/>
        </w:rPr>
      </w:pPr>
      <w:r>
        <w:rPr>
          <w:rFonts w:cs="Times New Roman" w:ascii="Times New Roman" w:hAnsi="Times New Roman"/>
          <w:sz w:val="24"/>
          <w:szCs w:val="24"/>
        </w:rPr>
        <w:t>Фатежского района</w:t>
      </w:r>
    </w:p>
    <w:p>
      <w:pPr>
        <w:pStyle w:val="ConsPlusNormal"/>
        <w:jc w:val="right"/>
        <w:rPr>
          <w:rFonts w:ascii="Times New Roman" w:hAnsi="Times New Roman" w:cs="Times New Roman"/>
          <w:color w:val="000000"/>
          <w:sz w:val="24"/>
          <w:szCs w:val="24"/>
        </w:rPr>
      </w:pPr>
      <w:r>
        <w:rPr>
          <w:rFonts w:cs="Times New Roman" w:ascii="Times New Roman" w:hAnsi="Times New Roman"/>
          <w:color w:val="000000"/>
          <w:sz w:val="24"/>
          <w:szCs w:val="24"/>
        </w:rPr>
        <w:t>от 15.10. 2019г. №64</w:t>
      </w:r>
    </w:p>
    <w:p>
      <w:pPr>
        <w:pStyle w:val="ConsPlusTitle"/>
        <w:ind w:left="4111" w:hanging="4111"/>
        <w:jc w:val="right"/>
        <w:rPr>
          <w:rFonts w:ascii="Times New Roman" w:hAnsi="Times New Roman" w:cs="Times New Roman"/>
          <w:b w:val="false"/>
          <w:b w:val="false"/>
          <w:sz w:val="24"/>
          <w:szCs w:val="24"/>
        </w:rPr>
      </w:pPr>
      <w:r>
        <w:rPr>
          <w:rFonts w:cs="Times New Roman" w:ascii="Times New Roman" w:hAnsi="Times New Roman"/>
          <w:b w:val="false"/>
          <w:sz w:val="24"/>
          <w:szCs w:val="24"/>
        </w:rPr>
        <w:t xml:space="preserve">«Об утверждении методики </w:t>
      </w:r>
    </w:p>
    <w:p>
      <w:pPr>
        <w:pStyle w:val="ConsPlusTitle"/>
        <w:ind w:left="4111" w:hanging="4111"/>
        <w:jc w:val="right"/>
        <w:rPr>
          <w:rFonts w:ascii="Times New Roman" w:hAnsi="Times New Roman" w:cs="Times New Roman"/>
          <w:b w:val="false"/>
          <w:b w:val="false"/>
          <w:sz w:val="24"/>
          <w:szCs w:val="24"/>
        </w:rPr>
      </w:pPr>
      <w:r>
        <w:rPr>
          <w:rFonts w:cs="Times New Roman" w:ascii="Times New Roman" w:hAnsi="Times New Roman"/>
          <w:b w:val="false"/>
          <w:sz w:val="24"/>
          <w:szCs w:val="24"/>
        </w:rPr>
        <w:t xml:space="preserve">прогнозирования поступлений </w:t>
      </w:r>
    </w:p>
    <w:p>
      <w:pPr>
        <w:pStyle w:val="ConsPlusTitle"/>
        <w:ind w:left="4111" w:hanging="4111"/>
        <w:jc w:val="right"/>
        <w:rPr>
          <w:rFonts w:ascii="Times New Roman" w:hAnsi="Times New Roman" w:cs="Times New Roman"/>
          <w:b w:val="false"/>
          <w:b w:val="false"/>
          <w:sz w:val="24"/>
          <w:szCs w:val="24"/>
        </w:rPr>
      </w:pPr>
      <w:r>
        <w:rPr>
          <w:rFonts w:cs="Times New Roman" w:ascii="Times New Roman" w:hAnsi="Times New Roman"/>
          <w:b w:val="false"/>
          <w:sz w:val="24"/>
          <w:szCs w:val="24"/>
        </w:rPr>
        <w:t xml:space="preserve">по источникам финансирования </w:t>
      </w:r>
    </w:p>
    <w:p>
      <w:pPr>
        <w:pStyle w:val="ConsPlusTitle"/>
        <w:ind w:left="4111" w:hanging="4111"/>
        <w:jc w:val="right"/>
        <w:rPr>
          <w:rFonts w:ascii="Times New Roman" w:hAnsi="Times New Roman" w:cs="Times New Roman"/>
          <w:b w:val="false"/>
          <w:b w:val="false"/>
          <w:sz w:val="24"/>
          <w:szCs w:val="24"/>
        </w:rPr>
      </w:pPr>
      <w:r>
        <w:rPr>
          <w:rFonts w:cs="Times New Roman" w:ascii="Times New Roman" w:hAnsi="Times New Roman"/>
          <w:b w:val="false"/>
          <w:sz w:val="24"/>
          <w:szCs w:val="24"/>
        </w:rPr>
        <w:t>дефицита бюджета муниципального</w:t>
      </w:r>
    </w:p>
    <w:p>
      <w:pPr>
        <w:pStyle w:val="ConsPlusTitle"/>
        <w:ind w:left="4111" w:hanging="4111"/>
        <w:jc w:val="right"/>
        <w:rPr>
          <w:rFonts w:ascii="Times New Roman" w:hAnsi="Times New Roman" w:cs="Times New Roman"/>
          <w:b w:val="false"/>
          <w:b w:val="false"/>
          <w:sz w:val="24"/>
          <w:szCs w:val="24"/>
        </w:rPr>
      </w:pPr>
      <w:r>
        <w:rPr>
          <w:rFonts w:cs="Times New Roman" w:ascii="Times New Roman" w:hAnsi="Times New Roman"/>
          <w:b w:val="false"/>
          <w:sz w:val="24"/>
          <w:szCs w:val="24"/>
        </w:rPr>
        <w:t>образования «Верхнелюбажский сельсовет»</w:t>
      </w:r>
    </w:p>
    <w:p>
      <w:pPr>
        <w:pStyle w:val="ConsPlusNormal"/>
        <w:jc w:val="right"/>
        <w:rPr>
          <w:rFonts w:ascii="Times New Roman" w:hAnsi="Times New Roman" w:cs="Times New Roman"/>
          <w:color w:val="000000"/>
          <w:sz w:val="24"/>
          <w:szCs w:val="24"/>
        </w:rPr>
      </w:pPr>
      <w:r>
        <w:rPr>
          <w:rFonts w:cs="Times New Roman" w:ascii="Times New Roman" w:hAnsi="Times New Roman"/>
          <w:sz w:val="24"/>
          <w:szCs w:val="24"/>
        </w:rPr>
        <w:t>Фатежского района Курской области»</w:t>
      </w:r>
    </w:p>
    <w:p>
      <w:pPr>
        <w:pStyle w:val="ConsPlusNormal"/>
        <w:jc w:val="right"/>
        <w:rPr>
          <w:rFonts w:ascii="Times New Roman" w:hAnsi="Times New Roman" w:cs="Times New Roman"/>
          <w:color w:val="CE181E"/>
          <w:szCs w:val="22"/>
        </w:rPr>
      </w:pPr>
      <w:r>
        <w:rPr>
          <w:rFonts w:cs="Times New Roman" w:ascii="Times New Roman" w:hAnsi="Times New Roman"/>
          <w:color w:val="CE181E"/>
          <w:szCs w:val="22"/>
        </w:rPr>
      </w:r>
    </w:p>
    <w:p>
      <w:pPr>
        <w:pStyle w:val="Normal"/>
        <w:spacing w:lineRule="auto" w:line="240" w:before="0" w:after="0"/>
        <w:jc w:val="center"/>
        <w:rPr>
          <w:rFonts w:ascii="Times New Roman" w:hAnsi="Times New Roman"/>
        </w:rPr>
      </w:pPr>
      <w:bookmarkStart w:id="1" w:name="P28"/>
      <w:bookmarkEnd w:id="1"/>
      <w:r>
        <w:rPr>
          <w:rFonts w:ascii="Times New Roman" w:hAnsi="Times New Roman"/>
          <w:b/>
        </w:rPr>
        <w:tab/>
        <w:tab/>
        <w:tab/>
      </w:r>
    </w:p>
    <w:p>
      <w:pPr>
        <w:pStyle w:val="Normal"/>
        <w:spacing w:lineRule="auto" w:line="240" w:before="0" w:after="0"/>
        <w:ind w:left="-142" w:hanging="38"/>
        <w:jc w:val="center"/>
        <w:rPr>
          <w:rFonts w:ascii="Times New Roman" w:hAnsi="Times New Roman"/>
          <w:b/>
          <w:b/>
          <w:sz w:val="28"/>
          <w:szCs w:val="28"/>
        </w:rPr>
      </w:pPr>
      <w:r>
        <w:rPr>
          <w:rFonts w:ascii="Times New Roman" w:hAnsi="Times New Roman"/>
          <w:b/>
          <w:sz w:val="28"/>
          <w:szCs w:val="28"/>
        </w:rPr>
        <w:t xml:space="preserve">Методика </w:t>
      </w:r>
    </w:p>
    <w:p>
      <w:pPr>
        <w:pStyle w:val="Normal"/>
        <w:spacing w:lineRule="auto" w:line="240" w:before="0" w:after="0"/>
        <w:ind w:left="-142" w:hanging="38"/>
        <w:jc w:val="center"/>
        <w:rPr>
          <w:rFonts w:ascii="Times New Roman" w:hAnsi="Times New Roman"/>
          <w:b/>
          <w:b/>
          <w:sz w:val="28"/>
          <w:szCs w:val="28"/>
        </w:rPr>
      </w:pPr>
      <w:r>
        <w:rPr>
          <w:rFonts w:ascii="Times New Roman" w:hAnsi="Times New Roman"/>
          <w:b/>
          <w:sz w:val="28"/>
          <w:szCs w:val="28"/>
        </w:rPr>
        <w:t xml:space="preserve">прогнозирования поступлений по источникам финансирования </w:t>
      </w:r>
    </w:p>
    <w:p>
      <w:pPr>
        <w:pStyle w:val="Normal"/>
        <w:spacing w:lineRule="auto" w:line="240" w:before="0" w:after="0"/>
        <w:ind w:left="-142" w:hanging="38"/>
        <w:jc w:val="center"/>
        <w:rPr>
          <w:rFonts w:ascii="Times New Roman" w:hAnsi="Times New Roman"/>
          <w:b/>
          <w:b/>
          <w:sz w:val="28"/>
          <w:szCs w:val="28"/>
        </w:rPr>
      </w:pPr>
      <w:r>
        <w:rPr>
          <w:rFonts w:ascii="Times New Roman" w:hAnsi="Times New Roman"/>
          <w:b/>
          <w:sz w:val="28"/>
          <w:szCs w:val="28"/>
        </w:rPr>
        <w:t>дефицита бюджета муниципального образования «Верхнелюбажский сельсовет» Фатежского района Курской области</w:t>
      </w:r>
    </w:p>
    <w:p>
      <w:pPr>
        <w:pStyle w:val="ListParagraph"/>
        <w:spacing w:lineRule="auto" w:line="240" w:before="0" w:after="0"/>
        <w:ind w:left="540" w:hanging="0"/>
        <w:contextualSpacing/>
        <w:jc w:val="center"/>
        <w:rPr>
          <w:rFonts w:ascii="Times New Roman" w:hAnsi="Times New Roman"/>
          <w:b/>
          <w:b/>
          <w:sz w:val="28"/>
          <w:szCs w:val="28"/>
        </w:rPr>
      </w:pPr>
      <w:r>
        <w:rPr>
          <w:rFonts w:ascii="Times New Roman" w:hAnsi="Times New Roman"/>
          <w:b/>
          <w:sz w:val="28"/>
          <w:szCs w:val="28"/>
        </w:rPr>
        <w:t xml:space="preserve">1.Общие положения </w:t>
      </w:r>
    </w:p>
    <w:p>
      <w:pPr>
        <w:pStyle w:val="ConsPlusNormal"/>
        <w:tabs>
          <w:tab w:val="left" w:pos="360" w:leader="none"/>
          <w:tab w:val="left" w:pos="900" w:leader="none"/>
          <w:tab w:val="left" w:pos="1260" w:leader="none"/>
        </w:tabs>
        <w:ind w:hanging="0"/>
        <w:jc w:val="both"/>
        <w:rPr>
          <w:rFonts w:ascii="Times New Roman" w:hAnsi="Times New Roman" w:cs="Times New Roman"/>
          <w:sz w:val="28"/>
          <w:szCs w:val="28"/>
        </w:rPr>
      </w:pPr>
      <w:r>
        <w:rPr>
          <w:rFonts w:cs="Times New Roman" w:ascii="Times New Roman" w:hAnsi="Times New Roman"/>
          <w:sz w:val="28"/>
          <w:szCs w:val="28"/>
        </w:rPr>
        <w:t xml:space="preserve">Настоящая Методика </w:t>
      </w:r>
      <w:r>
        <w:rPr>
          <w:rFonts w:cs="Times New Roman" w:ascii="Times New Roman" w:hAnsi="Times New Roman"/>
          <w:bCs/>
          <w:sz w:val="28"/>
          <w:szCs w:val="28"/>
        </w:rPr>
        <w:t>прогнозирования поступлений по источникам финансирования дефицита бюджета муниципального образования «Верхнелюбажский сельсовет» Фатежского района  Курской области</w:t>
      </w:r>
      <w:r>
        <w:rPr>
          <w:rFonts w:cs="Times New Roman" w:ascii="Times New Roman" w:hAnsi="Times New Roman"/>
          <w:sz w:val="28"/>
          <w:szCs w:val="28"/>
        </w:rPr>
        <w:t xml:space="preserve"> (далее - Методика)  устанавливает порядок расчета возможного привлечения долговых обязательств с учетом ограничений долговой нагрузки на бюджет муниципального </w:t>
      </w:r>
      <w:r>
        <w:rPr>
          <w:rFonts w:cs="Times New Roman" w:ascii="Times New Roman" w:hAnsi="Times New Roman"/>
          <w:bCs/>
          <w:sz w:val="28"/>
          <w:szCs w:val="28"/>
        </w:rPr>
        <w:t>образования «Верхнелюбажский сельсовет» Фатежского района  Курской области</w:t>
      </w:r>
      <w:r>
        <w:rPr>
          <w:rFonts w:cs="Times New Roman" w:ascii="Times New Roman" w:hAnsi="Times New Roman"/>
          <w:sz w:val="28"/>
          <w:szCs w:val="28"/>
        </w:rPr>
        <w:t xml:space="preserve">, а также поступлений по иным источникам </w:t>
      </w:r>
      <w:r>
        <w:rPr>
          <w:rFonts w:cs="Times New Roman" w:ascii="Times New Roman" w:hAnsi="Times New Roman"/>
          <w:bCs/>
          <w:sz w:val="28"/>
          <w:szCs w:val="28"/>
        </w:rPr>
        <w:t xml:space="preserve">финансирования дефицита бюджета муниципального образования «Верхнелюбажский сельсовет» Фатежского района  Курской области  </w:t>
      </w:r>
      <w:r>
        <w:rPr>
          <w:rFonts w:cs="Times New Roman" w:ascii="Times New Roman" w:hAnsi="Times New Roman"/>
          <w:sz w:val="28"/>
          <w:szCs w:val="28"/>
        </w:rPr>
        <w:t xml:space="preserve">в целях оптимального прогнозирования совокупного объема </w:t>
      </w:r>
      <w:r>
        <w:rPr>
          <w:rFonts w:cs="Times New Roman" w:ascii="Times New Roman" w:hAnsi="Times New Roman"/>
          <w:bCs/>
          <w:sz w:val="28"/>
          <w:szCs w:val="28"/>
        </w:rPr>
        <w:t>поступлений по источникам финансирования дефицита бюджета муниципального образования «Верхнелюбажский сельсовет» Фатежского района  Курской области, главным администратором которых является  Администрация Верхнелюбажского сельсовета Фатежского района.</w:t>
      </w:r>
    </w:p>
    <w:p>
      <w:pPr>
        <w:pStyle w:val="BodyText2"/>
        <w:spacing w:lineRule="auto" w:line="240" w:before="0" w:after="0"/>
        <w:ind w:firstLine="540"/>
        <w:jc w:val="both"/>
        <w:rPr>
          <w:sz w:val="28"/>
          <w:szCs w:val="28"/>
        </w:rPr>
      </w:pPr>
      <w:r>
        <w:rPr>
          <w:sz w:val="28"/>
          <w:szCs w:val="28"/>
        </w:rPr>
        <w:t xml:space="preserve">Методика направлена на обеспечение сбалансированности бюджета муниципального </w:t>
      </w:r>
      <w:r>
        <w:rPr>
          <w:bCs/>
          <w:sz w:val="28"/>
          <w:szCs w:val="28"/>
        </w:rPr>
        <w:t>образования «Верхнелюбажский сельсовет» Фатежского района  Курской области</w:t>
      </w:r>
      <w:r>
        <w:rPr>
          <w:sz w:val="28"/>
          <w:szCs w:val="28"/>
        </w:rPr>
        <w:t xml:space="preserve">  и основана на принципах контроля за объемом муниципального долга Верхнелюбажского сельсовета Фатежского района Курской области и недопущения необоснованных заимствований. </w:t>
      </w:r>
    </w:p>
    <w:p>
      <w:pPr>
        <w:pStyle w:val="Normal"/>
        <w:spacing w:lineRule="auto" w:line="240" w:before="0" w:after="0"/>
        <w:ind w:firstLine="540"/>
        <w:jc w:val="both"/>
        <w:rPr>
          <w:rFonts w:ascii="Times New Roman" w:hAnsi="Times New Roman"/>
        </w:rPr>
      </w:pPr>
      <w:r>
        <w:rPr>
          <w:rFonts w:ascii="Times New Roman" w:hAnsi="Times New Roman"/>
          <w:sz w:val="28"/>
          <w:szCs w:val="28"/>
        </w:rPr>
        <w:t>В основу  постановление Администрации Верхнелюбажского сельсовета Фатежского района  от 11.10.2019 года №190 «Об утверждении основных направлений бюджетной и налоговой политики в Верхнелюбажском сельсовете Фатежского района Курской области на 2020 год и плановый период 2021 и 2022 годов.</w:t>
      </w:r>
    </w:p>
    <w:p>
      <w:pPr>
        <w:pStyle w:val="ListParagraph"/>
        <w:tabs>
          <w:tab w:val="left" w:pos="360" w:leader="none"/>
          <w:tab w:val="left" w:pos="900" w:leader="none"/>
          <w:tab w:val="left" w:pos="1260" w:leader="none"/>
        </w:tabs>
        <w:spacing w:lineRule="auto" w:line="240" w:before="0" w:after="0"/>
        <w:ind w:left="0" w:hanging="0"/>
        <w:contextualSpacing/>
        <w:jc w:val="center"/>
        <w:rPr>
          <w:rFonts w:ascii="Times New Roman" w:hAnsi="Times New Roman"/>
          <w:b/>
          <w:b/>
          <w:sz w:val="28"/>
          <w:szCs w:val="28"/>
        </w:rPr>
      </w:pPr>
      <w:r>
        <w:rPr>
          <w:rFonts w:ascii="Times New Roman" w:hAnsi="Times New Roman"/>
          <w:b/>
          <w:sz w:val="28"/>
          <w:szCs w:val="28"/>
        </w:rPr>
      </w:r>
    </w:p>
    <w:p>
      <w:pPr>
        <w:pStyle w:val="ListParagraph"/>
        <w:tabs>
          <w:tab w:val="left" w:pos="360" w:leader="none"/>
          <w:tab w:val="left" w:pos="900" w:leader="none"/>
          <w:tab w:val="left" w:pos="1260" w:leader="none"/>
        </w:tabs>
        <w:spacing w:lineRule="auto" w:line="240" w:before="0" w:after="0"/>
        <w:ind w:left="0" w:hanging="0"/>
        <w:contextualSpacing/>
        <w:jc w:val="center"/>
        <w:rPr>
          <w:rFonts w:ascii="Times New Roman" w:hAnsi="Times New Roman"/>
          <w:b/>
          <w:b/>
          <w:sz w:val="28"/>
          <w:szCs w:val="28"/>
        </w:rPr>
      </w:pPr>
      <w:r>
        <w:rPr>
          <w:rFonts w:ascii="Times New Roman" w:hAnsi="Times New Roman"/>
          <w:b/>
          <w:sz w:val="28"/>
          <w:szCs w:val="28"/>
        </w:rPr>
      </w:r>
    </w:p>
    <w:p>
      <w:pPr>
        <w:pStyle w:val="ListParagraph"/>
        <w:tabs>
          <w:tab w:val="left" w:pos="360" w:leader="none"/>
          <w:tab w:val="left" w:pos="900" w:leader="none"/>
          <w:tab w:val="left" w:pos="1260" w:leader="none"/>
        </w:tabs>
        <w:spacing w:lineRule="auto" w:line="240" w:before="0" w:after="0"/>
        <w:ind w:left="0" w:hanging="0"/>
        <w:contextualSpacing/>
        <w:jc w:val="center"/>
        <w:rPr>
          <w:rFonts w:ascii="Times New Roman" w:hAnsi="Times New Roman"/>
          <w:b/>
          <w:b/>
          <w:sz w:val="28"/>
          <w:szCs w:val="28"/>
        </w:rPr>
      </w:pPr>
      <w:r>
        <w:rPr>
          <w:rFonts w:ascii="Times New Roman" w:hAnsi="Times New Roman"/>
          <w:b/>
          <w:sz w:val="28"/>
          <w:szCs w:val="28"/>
        </w:rPr>
      </w:r>
    </w:p>
    <w:p>
      <w:pPr>
        <w:pStyle w:val="ListParagraph"/>
        <w:tabs>
          <w:tab w:val="left" w:pos="360" w:leader="none"/>
          <w:tab w:val="left" w:pos="900" w:leader="none"/>
          <w:tab w:val="left" w:pos="1260" w:leader="none"/>
        </w:tabs>
        <w:spacing w:lineRule="auto" w:line="240" w:before="0" w:after="0"/>
        <w:ind w:left="0" w:hanging="0"/>
        <w:contextualSpacing/>
        <w:jc w:val="center"/>
        <w:rPr>
          <w:rFonts w:ascii="Times New Roman" w:hAnsi="Times New Roman"/>
          <w:b/>
          <w:b/>
          <w:sz w:val="28"/>
          <w:szCs w:val="28"/>
        </w:rPr>
      </w:pPr>
      <w:r>
        <w:rPr>
          <w:rFonts w:ascii="Times New Roman" w:hAnsi="Times New Roman"/>
          <w:b/>
          <w:sz w:val="28"/>
          <w:szCs w:val="28"/>
        </w:rPr>
      </w:r>
    </w:p>
    <w:p>
      <w:pPr>
        <w:pStyle w:val="ListParagraph"/>
        <w:tabs>
          <w:tab w:val="left" w:pos="360" w:leader="none"/>
          <w:tab w:val="left" w:pos="900" w:leader="none"/>
          <w:tab w:val="left" w:pos="1260" w:leader="none"/>
        </w:tabs>
        <w:spacing w:lineRule="auto" w:line="240" w:before="0" w:after="0"/>
        <w:ind w:left="0" w:hanging="0"/>
        <w:contextualSpacing/>
        <w:jc w:val="center"/>
        <w:rPr>
          <w:rFonts w:ascii="Times New Roman" w:hAnsi="Times New Roman"/>
          <w:b/>
          <w:b/>
          <w:sz w:val="28"/>
          <w:szCs w:val="28"/>
        </w:rPr>
      </w:pPr>
      <w:r>
        <w:rPr>
          <w:rFonts w:ascii="Times New Roman" w:hAnsi="Times New Roman"/>
          <w:b/>
          <w:sz w:val="28"/>
          <w:szCs w:val="28"/>
        </w:rPr>
      </w:r>
    </w:p>
    <w:p>
      <w:pPr>
        <w:pStyle w:val="ListParagraph"/>
        <w:tabs>
          <w:tab w:val="left" w:pos="360" w:leader="none"/>
          <w:tab w:val="left" w:pos="900" w:leader="none"/>
          <w:tab w:val="left" w:pos="1260" w:leader="none"/>
        </w:tabs>
        <w:spacing w:lineRule="auto" w:line="240" w:before="0" w:after="0"/>
        <w:ind w:left="0" w:hanging="0"/>
        <w:contextualSpacing/>
        <w:jc w:val="center"/>
        <w:rPr>
          <w:rFonts w:ascii="Times New Roman" w:hAnsi="Times New Roman"/>
          <w:sz w:val="28"/>
          <w:szCs w:val="28"/>
        </w:rPr>
      </w:pPr>
      <w:r>
        <w:rPr>
          <w:rFonts w:ascii="Times New Roman" w:hAnsi="Times New Roman"/>
          <w:b/>
          <w:sz w:val="28"/>
          <w:szCs w:val="28"/>
        </w:rPr>
        <w:t>2</w:t>
      </w:r>
      <w:r>
        <w:rPr>
          <w:rFonts w:ascii="Times New Roman" w:hAnsi="Times New Roman"/>
          <w:sz w:val="28"/>
          <w:szCs w:val="28"/>
        </w:rPr>
        <w:t>.</w:t>
      </w:r>
      <w:r>
        <w:rPr>
          <w:rFonts w:ascii="Times New Roman" w:hAnsi="Times New Roman"/>
          <w:b/>
          <w:sz w:val="28"/>
          <w:szCs w:val="28"/>
        </w:rPr>
        <w:t>Алгоритм (формула) расчета прогнозного объема по видам поступлений по источникам финансирования дефицита бюджета, администрируемых  Администрацией Верхнелюбажского сельсовета Фатежского района</w:t>
      </w:r>
    </w:p>
    <w:p>
      <w:pPr>
        <w:pStyle w:val="ConsPlusNormal"/>
        <w:ind w:firstLine="540"/>
        <w:jc w:val="both"/>
        <w:rPr>
          <w:rFonts w:ascii="Times New Roman" w:hAnsi="Times New Roman" w:cs="Times New Roman"/>
          <w:b/>
          <w:b/>
          <w:bCs/>
          <w:color w:val="FF0000"/>
          <w:sz w:val="28"/>
          <w:szCs w:val="28"/>
        </w:rPr>
      </w:pPr>
      <w:r>
        <w:rPr>
          <w:rFonts w:cs="Times New Roman" w:ascii="Times New Roman" w:hAnsi="Times New Roman"/>
          <w:b/>
          <w:bCs/>
          <w:color w:val="FF0000"/>
          <w:sz w:val="28"/>
          <w:szCs w:val="28"/>
        </w:rPr>
      </w:r>
    </w:p>
    <w:p>
      <w:pPr>
        <w:pStyle w:val="ConsPlusNormal"/>
        <w:ind w:firstLine="709"/>
        <w:jc w:val="center"/>
        <w:rPr>
          <w:rFonts w:ascii="Times New Roman" w:hAnsi="Times New Roman" w:cs="Times New Roman"/>
          <w:sz w:val="28"/>
          <w:szCs w:val="28"/>
        </w:rPr>
      </w:pPr>
      <w:r>
        <w:rPr>
          <w:rFonts w:cs="Times New Roman" w:ascii="Times New Roman" w:hAnsi="Times New Roman"/>
          <w:b/>
          <w:sz w:val="28"/>
          <w:szCs w:val="28"/>
        </w:rPr>
        <w:t>Получение кредитов от кредитных организаций бюджетами сельских поселений   в валюте Российской Федерации                            (код 01 02 00 00 10 0000 710)</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Объем поступлений от возможного привлечения кредитов от кредитных организаций  рассчитывается с использованием метода прямого счета исходя из условий действующих договоров согласно следующей формуле:</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Кр = Дт – Бкр  - Ии – Ост + ГДтг</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Кр – сумма кредита кредитной организации, подлежащая заимствованию;</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Дт – дефицит бюджета;</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Бкр - сумма бюджетного кредита, распределенная муниципальному образованию управлением финансов Фатежского района Курской области;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Ии – иные источники финансирования дефицита бюджета;</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Ост – изменение остатков средств на счетах по учету средств бюджета;</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ГДтг – муниципальный долг, подлежащий погашению в текущем году.</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center"/>
        <w:rPr>
          <w:rFonts w:ascii="Times New Roman" w:hAnsi="Times New Roman" w:cs="Times New Roman"/>
          <w:b/>
          <w:b/>
          <w:sz w:val="28"/>
          <w:szCs w:val="28"/>
        </w:rPr>
      </w:pPr>
      <w:r>
        <w:rPr>
          <w:rFonts w:cs="Times New Roman" w:ascii="Times New Roman" w:hAnsi="Times New Roman"/>
          <w:b/>
          <w:sz w:val="28"/>
          <w:szCs w:val="28"/>
        </w:rPr>
        <w:t>Получение кредитов от других бюджетов бюджетной системы Российской Федерации бюджетами сельских поселений в валюте Российской Федерации  (код 01 03 01 00 10 0000 710)</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Объем поступлений от возможного привлечения бюджетных кредитов из бюджета муниципального района «Фатежский район» Курской области определяется в соответствии с распределением лимитов бюджетных кредитов бюджету муниципального образования «Верхнелюбажский сельсовет» Фатежского района Курской области, рассчитанных согласно методикам, применяемым управлением финансов Фатежского района Курской области.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При уточнении решения о бюджете муниципального</w:t>
      </w:r>
      <w:r>
        <w:rPr>
          <w:rFonts w:cs="Times New Roman" w:ascii="Times New Roman" w:hAnsi="Times New Roman"/>
          <w:bCs/>
          <w:sz w:val="28"/>
          <w:szCs w:val="28"/>
        </w:rPr>
        <w:t xml:space="preserve"> образования «Верхнелюбажский сельсовет» Фатежского района  Курской области</w:t>
      </w:r>
      <w:r>
        <w:rPr>
          <w:rFonts w:cs="Times New Roman" w:ascii="Times New Roman" w:hAnsi="Times New Roman"/>
          <w:sz w:val="28"/>
          <w:szCs w:val="28"/>
        </w:rPr>
        <w:t xml:space="preserve">  предусмотренный объем заимствований по кредитам кредитных организаций уменьшается на сумму бюджетного кредита, распределенного для муниципального образования «Верхнелюбажский сельсовет» Фатежского района Курской области управлением финансов Фатежского района Курской области.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 xml:space="preserve">С целью экономии средств, предусмотренных на обслуживание муниципального долга муниципального образования «Верхнелюбажский сельсовет» Фатежского района Курской области, кредиты кредитных организаций замещаются бюджетными кредитами. </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ind w:left="0" w:hanging="0"/>
        <w:contextualSpacing/>
        <w:jc w:val="center"/>
        <w:rPr>
          <w:rFonts w:ascii="Times New Roman" w:hAnsi="Times New Roman"/>
          <w:sz w:val="28"/>
          <w:szCs w:val="28"/>
        </w:rPr>
      </w:pPr>
      <w:r>
        <w:rPr>
          <w:rFonts w:ascii="Times New Roman" w:hAnsi="Times New Roman"/>
          <w:b/>
          <w:sz w:val="28"/>
          <w:szCs w:val="28"/>
        </w:rPr>
        <w:t xml:space="preserve">Увеличение прочих остатков денежных средств бюджета муниципального </w:t>
      </w:r>
      <w:r>
        <w:rPr>
          <w:rFonts w:ascii="Times New Roman" w:hAnsi="Times New Roman"/>
          <w:b/>
          <w:bCs/>
          <w:sz w:val="28"/>
          <w:szCs w:val="28"/>
        </w:rPr>
        <w:t>образования «Верхнелюбажский сельсовет» Фатежского района  Курской области</w:t>
      </w:r>
      <w:r>
        <w:rPr>
          <w:rFonts w:ascii="Times New Roman" w:hAnsi="Times New Roman"/>
          <w:b/>
          <w:sz w:val="28"/>
          <w:szCs w:val="28"/>
        </w:rPr>
        <w:t xml:space="preserve">    (код 01 05 02 01 10 0000 510)</w:t>
      </w:r>
    </w:p>
    <w:p>
      <w:pPr>
        <w:pStyle w:val="ListParagraph"/>
        <w:spacing w:lineRule="auto" w:line="240" w:before="0" w:after="0"/>
        <w:ind w:left="0" w:hanging="0"/>
        <w:contextualSpacing/>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 xml:space="preserve">Объем поступлений от возможного увеличения остатков денежных средств бюджета муниципального </w:t>
      </w:r>
      <w:r>
        <w:rPr>
          <w:rFonts w:ascii="Times New Roman" w:hAnsi="Times New Roman"/>
          <w:bCs/>
          <w:sz w:val="28"/>
          <w:szCs w:val="28"/>
        </w:rPr>
        <w:t>образования «Верхнелюбажский сельсовет» Фатежского района  Курской области</w:t>
      </w:r>
      <w:r>
        <w:rPr>
          <w:rFonts w:ascii="Times New Roman" w:hAnsi="Times New Roman"/>
          <w:sz w:val="28"/>
          <w:szCs w:val="28"/>
        </w:rPr>
        <w:t xml:space="preserve">  определяется исходя из общего объема доходов с учетом предполагаемого привлечения объема бюджетных кредитов и кредитов кредитных организаций,  предоставленных другими бюджетами бюджетной системы Российской Федерации.</w:t>
      </w:r>
    </w:p>
    <w:p>
      <w:pPr>
        <w:pStyle w:val="ListParagraph"/>
        <w:spacing w:lineRule="auto" w:line="240" w:before="0" w:after="0"/>
        <w:ind w:left="0" w:hanging="0"/>
        <w:contextualSpacing/>
        <w:rPr>
          <w:rFonts w:ascii="Times New Roman" w:hAnsi="Times New Roman"/>
          <w:sz w:val="28"/>
          <w:szCs w:val="28"/>
        </w:rPr>
      </w:pPr>
      <w:r>
        <w:rPr>
          <w:rFonts w:ascii="Times New Roman" w:hAnsi="Times New Roman"/>
          <w:sz w:val="28"/>
          <w:szCs w:val="28"/>
        </w:rPr>
      </w:r>
    </w:p>
    <w:p>
      <w:pPr>
        <w:pStyle w:val="ListParagraph"/>
        <w:spacing w:lineRule="auto" w:line="240" w:before="0" w:after="0"/>
        <w:ind w:left="0" w:hanging="0"/>
        <w:contextualSpacing/>
        <w:jc w:val="center"/>
        <w:rPr>
          <w:rFonts w:ascii="Times New Roman" w:hAnsi="Times New Roman"/>
          <w:b/>
          <w:b/>
          <w:sz w:val="28"/>
          <w:szCs w:val="28"/>
        </w:rPr>
      </w:pPr>
      <w:r>
        <w:rPr>
          <w:rFonts w:ascii="Times New Roman" w:hAnsi="Times New Roman"/>
          <w:b/>
          <w:sz w:val="28"/>
          <w:szCs w:val="28"/>
        </w:rPr>
        <w:t>Увеличение остатков денежных средств финансовых резервов бюджетов сельских поселений (код 01 05 01 01 10 0000 510)</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t>Объем поступлений от возможного увеличения остатков денежных средств бюджета муниципального образования «Верхнелюбажский сельсовет» Фатежского района Курской области определяется исходя из остатка средств Резервного фонда Верхнелюбажского сельсовета Фатежского района Курской области на конец соответствующего финансового года и расходуется на покрытие временных кассовых разрывов, возникающих при исполнении  бюджета муниципального образования, с обязательным восстановлением их до конца соответствующего финансового года.</w:t>
      </w:r>
    </w:p>
    <w:p>
      <w:pPr>
        <w:pStyle w:val="ConsPlusNormal"/>
        <w:ind w:firstLine="540"/>
        <w:jc w:val="both"/>
        <w:rPr>
          <w:rFonts w:ascii="Times New Roman" w:hAnsi="Times New Roman" w:cs="Times New Roman"/>
          <w:b/>
          <w:b/>
        </w:rPr>
      </w:pPr>
      <w:r>
        <w:rPr>
          <w:rFonts w:cs="Times New Roman"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ind w:right="-1" w:firstLine="709"/>
        <w:jc w:val="both"/>
        <w:rPr>
          <w:rFonts w:ascii="Times New Roman" w:hAnsi="Times New Roman"/>
          <w:color w:val="000000"/>
        </w:rPr>
      </w:pPr>
      <w:r>
        <w:rPr>
          <w:rFonts w:ascii="Times New Roman" w:hAnsi="Times New Roman"/>
          <w:color w:val="000000"/>
        </w:rPr>
      </w:r>
    </w:p>
    <w:p>
      <w:pPr>
        <w:pStyle w:val="Normal"/>
        <w:spacing w:lineRule="auto" w:line="240" w:before="0" w:after="0"/>
        <w:ind w:firstLine="540"/>
        <w:jc w:val="both"/>
        <w:rPr>
          <w:rFonts w:ascii="Times New Roman" w:hAnsi="Times New Roman"/>
          <w:color w:val="000000"/>
        </w:rPr>
      </w:pPr>
      <w:r>
        <w:rPr>
          <w:rFonts w:ascii="Times New Roman" w:hAnsi="Times New Roman"/>
          <w:color w:val="000000"/>
        </w:rPr>
      </w:r>
    </w:p>
    <w:p>
      <w:pPr>
        <w:pStyle w:val="ConsNormal"/>
        <w:widowControl/>
        <w:tabs>
          <w:tab w:val="left" w:pos="6521" w:leader="none"/>
        </w:tabs>
        <w:ind w:right="-1" w:hanging="0"/>
        <w:jc w:val="both"/>
        <w:rPr>
          <w:rFonts w:ascii="Times New Roman" w:hAnsi="Times New Roman" w:cs="Times New Roman"/>
          <w:sz w:val="28"/>
          <w:szCs w:val="28"/>
        </w:rPr>
      </w:pPr>
      <w:r>
        <w:rPr>
          <w:rFonts w:cs="Times New Roman" w:ascii="Times New Roman" w:hAnsi="Times New Roman"/>
          <w:sz w:val="28"/>
          <w:szCs w:val="28"/>
        </w:rPr>
      </w:r>
    </w:p>
    <w:p>
      <w:pPr>
        <w:pStyle w:val="ConsNormal"/>
        <w:widowControl/>
        <w:tabs>
          <w:tab w:val="left" w:pos="6521" w:leader="none"/>
        </w:tabs>
        <w:ind w:right="-1" w:firstLine="851"/>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tabs>
          <w:tab w:val="left" w:pos="709" w:leader="none"/>
          <w:tab w:val="left" w:pos="851" w:leader="none"/>
        </w:tabs>
        <w:spacing w:lineRule="auto" w:line="240" w:before="0" w:after="0"/>
        <w:ind w:right="-1" w:firstLine="851"/>
        <w:jc w:val="both"/>
        <w:rPr>
          <w:rFonts w:ascii="Times New Roman" w:hAnsi="Times New Roman"/>
          <w:bCs/>
          <w:color w:val="000000"/>
          <w:spacing w:val="-14"/>
        </w:rPr>
      </w:pPr>
      <w:r>
        <w:rPr>
          <w:rFonts w:ascii="Times New Roman" w:hAnsi="Times New Roman"/>
          <w:bCs/>
          <w:color w:val="000000"/>
          <w:spacing w:val="-14"/>
        </w:rPr>
      </w:r>
    </w:p>
    <w:p>
      <w:pPr>
        <w:pStyle w:val="Normal"/>
        <w:shd w:val="clear" w:color="auto" w:fill="FFFFFF"/>
        <w:spacing w:lineRule="auto" w:line="240" w:before="0" w:after="0"/>
        <w:ind w:right="-1" w:firstLine="709"/>
        <w:jc w:val="both"/>
        <w:rPr>
          <w:rFonts w:ascii="Times New Roman" w:hAnsi="Times New Roman"/>
          <w:sz w:val="28"/>
          <w:szCs w:val="28"/>
        </w:rPr>
      </w:pPr>
      <w:r>
        <w:rPr>
          <w:rFonts w:ascii="Times New Roman" w:hAnsi="Times New Roman"/>
          <w:sz w:val="28"/>
          <w:szCs w:val="28"/>
        </w:rPr>
      </w:r>
    </w:p>
    <w:p>
      <w:pPr>
        <w:pStyle w:val="Normal"/>
        <w:spacing w:lineRule="auto" w:line="240" w:before="0" w:after="0"/>
        <w:ind w:firstLine="540"/>
        <w:jc w:val="center"/>
        <w:rPr/>
      </w:pPr>
      <w:r>
        <w:rPr/>
      </w:r>
    </w:p>
    <w:sectPr>
      <w:type w:val="nextPage"/>
      <w:pgSz w:w="11906" w:h="16838"/>
      <w:pgMar w:left="1701" w:right="850"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s>
</file>

<file path=word/settings.xml><?xml version="1.0" encoding="utf-8"?>
<w:settings xmlns:w="http://schemas.openxmlformats.org/wordprocessingml/2006/main">
  <w:zoom w:percent="100"/>
  <w:embedSystemFonts/>
  <w:defaultTabStop w:val="708"/>
  <w:compat>
    <w:doNotExpandShiftReturn/>
  </w:compat>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nhideWhenUsed="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83db6"/>
    <w:pPr>
      <w:widowControl/>
      <w:bidi w:val="0"/>
      <w:spacing w:lineRule="auto" w:line="276" w:before="0" w:after="200"/>
      <w:jc w:val="left"/>
    </w:pPr>
    <w:rPr>
      <w:rFonts w:ascii="Calibri" w:hAnsi="Calibri" w:eastAsia="Times New Roman" w:cs="Times New Roman"/>
      <w:color w:val="00000A"/>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4" w:customStyle="1">
    <w:name w:val="Название Знак"/>
    <w:basedOn w:val="DefaultParagraphFont"/>
    <w:qFormat/>
    <w:rsid w:val="00ad71c1"/>
    <w:rPr>
      <w:rFonts w:ascii="Times New Roman" w:hAnsi="Times New Roman"/>
      <w:b/>
      <w:bCs/>
      <w:sz w:val="28"/>
      <w:szCs w:val="28"/>
    </w:rPr>
  </w:style>
  <w:style w:type="character" w:styleId="ListLabel1" w:customStyle="1">
    <w:name w:val="ListLabel 1"/>
    <w:qFormat/>
    <w:rsid w:val="00525a97"/>
    <w:rPr>
      <w:rFonts w:ascii="Times New Roman" w:hAnsi="Times New Roman" w:cs="Times New Roman"/>
      <w:sz w:val="28"/>
      <w:szCs w:val="28"/>
    </w:rPr>
  </w:style>
  <w:style w:type="character" w:styleId="Style15" w:customStyle="1">
    <w:name w:val="Интернет-ссылка"/>
    <w:rsid w:val="00525a97"/>
    <w:rPr>
      <w:color w:val="000080"/>
      <w:u w:val="single"/>
    </w:rPr>
  </w:style>
  <w:style w:type="character" w:styleId="ListLabel2" w:customStyle="1">
    <w:name w:val="ListLabel 2"/>
    <w:qFormat/>
    <w:rsid w:val="00525a97"/>
    <w:rPr>
      <w:rFonts w:ascii="Times New Roman" w:hAnsi="Times New Roman"/>
      <w:sz w:val="28"/>
      <w:szCs w:val="28"/>
    </w:rPr>
  </w:style>
  <w:style w:type="character" w:styleId="ListLabel3" w:customStyle="1">
    <w:name w:val="ListLabel 3"/>
    <w:qFormat/>
    <w:rsid w:val="00525a97"/>
    <w:rPr>
      <w:rFonts w:ascii="Times New Roman" w:hAnsi="Times New Roman" w:cs="Times New Roman"/>
      <w:sz w:val="28"/>
      <w:szCs w:val="28"/>
    </w:rPr>
  </w:style>
  <w:style w:type="character" w:styleId="ListLabel4" w:customStyle="1">
    <w:name w:val="ListLabel 4"/>
    <w:qFormat/>
    <w:rsid w:val="00525a97"/>
    <w:rPr>
      <w:rFonts w:ascii="Times New Roman" w:hAnsi="Times New Roman"/>
      <w:sz w:val="28"/>
      <w:szCs w:val="28"/>
    </w:rPr>
  </w:style>
  <w:style w:type="character" w:styleId="ListLabel5" w:customStyle="1">
    <w:name w:val="ListLabel 5"/>
    <w:qFormat/>
    <w:rsid w:val="00525a97"/>
    <w:rPr>
      <w:rFonts w:ascii="Times New Roman" w:hAnsi="Times New Roman" w:cs="Times New Roman"/>
      <w:sz w:val="28"/>
      <w:szCs w:val="28"/>
    </w:rPr>
  </w:style>
  <w:style w:type="character" w:styleId="ListLabel6" w:customStyle="1">
    <w:name w:val="ListLabel 6"/>
    <w:qFormat/>
    <w:rsid w:val="00525a97"/>
    <w:rPr>
      <w:rFonts w:ascii="Times New Roman" w:hAnsi="Times New Roman"/>
      <w:sz w:val="28"/>
      <w:szCs w:val="28"/>
    </w:rPr>
  </w:style>
  <w:style w:type="character" w:styleId="ListLabel7" w:customStyle="1">
    <w:name w:val="ListLabel 7"/>
    <w:qFormat/>
    <w:rsid w:val="00525a97"/>
    <w:rPr>
      <w:rFonts w:ascii="Times New Roman" w:hAnsi="Times New Roman" w:cs="Times New Roman"/>
      <w:sz w:val="28"/>
      <w:szCs w:val="28"/>
    </w:rPr>
  </w:style>
  <w:style w:type="character" w:styleId="ListLabel8" w:customStyle="1">
    <w:name w:val="ListLabel 8"/>
    <w:qFormat/>
    <w:rsid w:val="00525a97"/>
    <w:rPr>
      <w:rFonts w:ascii="Times New Roman" w:hAnsi="Times New Roman"/>
      <w:sz w:val="28"/>
      <w:szCs w:val="28"/>
    </w:rPr>
  </w:style>
  <w:style w:type="character" w:styleId="WW8Num1z0" w:customStyle="1">
    <w:name w:val="WW8Num1z0"/>
    <w:qFormat/>
    <w:rsid w:val="00525a97"/>
    <w:rPr/>
  </w:style>
  <w:style w:type="character" w:styleId="ListLabel9" w:customStyle="1">
    <w:name w:val="ListLabel 9"/>
    <w:qFormat/>
    <w:rsid w:val="00525a97"/>
    <w:rPr>
      <w:rFonts w:ascii="Times New Roman" w:hAnsi="Times New Roman" w:cs="Times New Roman"/>
      <w:sz w:val="28"/>
      <w:szCs w:val="28"/>
    </w:rPr>
  </w:style>
  <w:style w:type="character" w:styleId="ListLabel10">
    <w:name w:val="ListLabel 10"/>
    <w:qFormat/>
    <w:rPr>
      <w:rFonts w:ascii="Times New Roman" w:hAnsi="Times New Roman" w:cs="Times New Roman"/>
      <w:color w:val="00000A"/>
      <w:sz w:val="28"/>
      <w:szCs w:val="28"/>
      <w:u w:val="none"/>
    </w:rPr>
  </w:style>
  <w:style w:type="paragraph" w:styleId="Style16" w:customStyle="1">
    <w:name w:val="Заголовок"/>
    <w:basedOn w:val="Normal"/>
    <w:next w:val="Style17"/>
    <w:qFormat/>
    <w:rsid w:val="00525a97"/>
    <w:pPr>
      <w:keepNext w:val="true"/>
      <w:spacing w:before="240" w:after="120"/>
    </w:pPr>
    <w:rPr>
      <w:rFonts w:ascii="Liberation Sans" w:hAnsi="Liberation Sans" w:eastAsia="Microsoft YaHei" w:cs="Lucida Sans"/>
      <w:sz w:val="28"/>
      <w:szCs w:val="28"/>
    </w:rPr>
  </w:style>
  <w:style w:type="paragraph" w:styleId="Style17">
    <w:name w:val="Body Text"/>
    <w:basedOn w:val="Normal"/>
    <w:rsid w:val="00525a97"/>
    <w:pPr>
      <w:spacing w:before="0" w:after="140"/>
    </w:pPr>
    <w:rPr/>
  </w:style>
  <w:style w:type="paragraph" w:styleId="Style18">
    <w:name w:val="List"/>
    <w:basedOn w:val="Style17"/>
    <w:rsid w:val="00525a97"/>
    <w:pPr/>
    <w:rPr>
      <w:rFonts w:cs="Lucida Sans"/>
    </w:rPr>
  </w:style>
  <w:style w:type="paragraph" w:styleId="Style19" w:customStyle="1">
    <w:name w:val="Caption"/>
    <w:basedOn w:val="Normal"/>
    <w:qFormat/>
    <w:rsid w:val="00525a97"/>
    <w:pPr>
      <w:suppressLineNumbers/>
      <w:spacing w:before="120" w:after="120"/>
    </w:pPr>
    <w:rPr>
      <w:rFonts w:cs="Lucida Sans"/>
      <w:i/>
      <w:iCs/>
      <w:sz w:val="24"/>
      <w:szCs w:val="24"/>
    </w:rPr>
  </w:style>
  <w:style w:type="paragraph" w:styleId="Style20">
    <w:name w:val="Указатель"/>
    <w:basedOn w:val="Normal"/>
    <w:qFormat/>
    <w:pPr>
      <w:suppressLineNumbers/>
    </w:pPr>
    <w:rPr>
      <w:rFonts w:cs="Lucida Sans"/>
    </w:rPr>
  </w:style>
  <w:style w:type="paragraph" w:styleId="Indexheading">
    <w:name w:val="index heading"/>
    <w:basedOn w:val="Normal"/>
    <w:qFormat/>
    <w:rsid w:val="00525a97"/>
    <w:pPr>
      <w:suppressLineNumbers/>
    </w:pPr>
    <w:rPr>
      <w:rFonts w:cs="Lucida Sans"/>
    </w:rPr>
  </w:style>
  <w:style w:type="paragraph" w:styleId="ConsPlusNormal" w:customStyle="1">
    <w:name w:val="ConsPlusNormal"/>
    <w:qFormat/>
    <w:rsid w:val="00a83db6"/>
    <w:pPr>
      <w:widowControl w:val="false"/>
      <w:bidi w:val="0"/>
      <w:ind w:firstLine="720"/>
      <w:jc w:val="left"/>
    </w:pPr>
    <w:rPr>
      <w:rFonts w:ascii="Arial" w:hAnsi="Arial" w:cs="Arial" w:eastAsia="Times New Roman"/>
      <w:color w:val="00000A"/>
      <w:kern w:val="0"/>
      <w:sz w:val="22"/>
      <w:szCs w:val="20"/>
      <w:lang w:val="ru-RU" w:eastAsia="ru-RU" w:bidi="ar-SA"/>
    </w:rPr>
  </w:style>
  <w:style w:type="paragraph" w:styleId="ConsPlusNonformat" w:customStyle="1">
    <w:name w:val="ConsPlusNonformat"/>
    <w:uiPriority w:val="99"/>
    <w:qFormat/>
    <w:rsid w:val="00a83db6"/>
    <w:pPr>
      <w:widowControl w:val="false"/>
      <w:bidi w:val="0"/>
      <w:jc w:val="left"/>
    </w:pPr>
    <w:rPr>
      <w:rFonts w:ascii="Courier New" w:hAnsi="Courier New" w:cs="Courier New" w:eastAsia="Times New Roman"/>
      <w:color w:val="00000A"/>
      <w:kern w:val="0"/>
      <w:sz w:val="22"/>
      <w:szCs w:val="20"/>
      <w:lang w:val="ru-RU" w:eastAsia="ru-RU" w:bidi="ar-SA"/>
    </w:rPr>
  </w:style>
  <w:style w:type="paragraph" w:styleId="ConsPlusTitle" w:customStyle="1">
    <w:name w:val="ConsPlusTitle"/>
    <w:uiPriority w:val="99"/>
    <w:qFormat/>
    <w:rsid w:val="00a83db6"/>
    <w:pPr>
      <w:widowControl w:val="false"/>
      <w:bidi w:val="0"/>
      <w:jc w:val="left"/>
    </w:pPr>
    <w:rPr>
      <w:rFonts w:ascii="Arial" w:hAnsi="Arial" w:cs="Arial" w:eastAsia="Times New Roman"/>
      <w:b/>
      <w:bCs/>
      <w:color w:val="00000A"/>
      <w:kern w:val="0"/>
      <w:sz w:val="22"/>
      <w:szCs w:val="20"/>
      <w:lang w:val="ru-RU" w:eastAsia="ru-RU" w:bidi="ar-SA"/>
    </w:rPr>
  </w:style>
  <w:style w:type="paragraph" w:styleId="ConsPlusCell" w:customStyle="1">
    <w:name w:val="ConsPlusCell"/>
    <w:uiPriority w:val="99"/>
    <w:qFormat/>
    <w:rsid w:val="00a83db6"/>
    <w:pPr>
      <w:widowControl w:val="false"/>
      <w:bidi w:val="0"/>
      <w:jc w:val="left"/>
    </w:pPr>
    <w:rPr>
      <w:rFonts w:ascii="Arial" w:hAnsi="Arial" w:cs="Arial" w:eastAsia="Times New Roman"/>
      <w:color w:val="00000A"/>
      <w:kern w:val="0"/>
      <w:sz w:val="22"/>
      <w:szCs w:val="20"/>
      <w:lang w:val="ru-RU" w:eastAsia="ru-RU" w:bidi="ar-SA"/>
    </w:rPr>
  </w:style>
  <w:style w:type="paragraph" w:styleId="ConsPlusDocList" w:customStyle="1">
    <w:name w:val="ConsPlusDocList"/>
    <w:uiPriority w:val="99"/>
    <w:qFormat/>
    <w:rsid w:val="00a83db6"/>
    <w:pPr>
      <w:widowControl w:val="false"/>
      <w:bidi w:val="0"/>
      <w:jc w:val="left"/>
    </w:pPr>
    <w:rPr>
      <w:rFonts w:ascii="Courier New" w:hAnsi="Courier New" w:cs="Courier New" w:eastAsia="Times New Roman"/>
      <w:color w:val="00000A"/>
      <w:kern w:val="0"/>
      <w:sz w:val="22"/>
      <w:szCs w:val="20"/>
      <w:lang w:val="ru-RU" w:eastAsia="ru-RU" w:bidi="ar-SA"/>
    </w:rPr>
  </w:style>
  <w:style w:type="paragraph" w:styleId="Style21">
    <w:name w:val="Title"/>
    <w:basedOn w:val="Normal"/>
    <w:qFormat/>
    <w:rsid w:val="00ad71c1"/>
    <w:pPr>
      <w:spacing w:lineRule="auto" w:line="240" w:before="0" w:after="0"/>
      <w:ind w:firstLine="851"/>
      <w:jc w:val="center"/>
    </w:pPr>
    <w:rPr>
      <w:rFonts w:ascii="Times New Roman" w:hAnsi="Times New Roman"/>
      <w:b/>
      <w:bCs/>
      <w:sz w:val="28"/>
      <w:szCs w:val="28"/>
    </w:rPr>
  </w:style>
  <w:style w:type="paragraph" w:styleId="ConsNormal" w:customStyle="1">
    <w:name w:val="ConsNormal"/>
    <w:qFormat/>
    <w:rsid w:val="00ad71c1"/>
    <w:pPr>
      <w:widowControl w:val="false"/>
      <w:bidi w:val="0"/>
      <w:ind w:firstLine="720"/>
      <w:jc w:val="left"/>
    </w:pPr>
    <w:rPr>
      <w:rFonts w:ascii="Arial" w:hAnsi="Arial" w:cs="Arial" w:eastAsia="Times New Roman"/>
      <w:color w:val="00000A"/>
      <w:kern w:val="0"/>
      <w:sz w:val="22"/>
      <w:szCs w:val="20"/>
      <w:lang w:val="ru-RU" w:eastAsia="ru-RU" w:bidi="ar-SA"/>
    </w:rPr>
  </w:style>
  <w:style w:type="paragraph" w:styleId="Style22" w:customStyle="1">
    <w:name w:val="Содержимое врезки"/>
    <w:basedOn w:val="Normal"/>
    <w:qFormat/>
    <w:rsid w:val="00525a97"/>
    <w:pPr/>
    <w:rPr/>
  </w:style>
  <w:style w:type="paragraph" w:styleId="ListParagraph">
    <w:name w:val="List Paragraph"/>
    <w:basedOn w:val="Normal"/>
    <w:qFormat/>
    <w:rsid w:val="00525a97"/>
    <w:pPr>
      <w:spacing w:before="0" w:after="200"/>
      <w:ind w:left="720" w:hanging="0"/>
      <w:contextualSpacing/>
    </w:pPr>
    <w:rPr/>
  </w:style>
  <w:style w:type="paragraph" w:styleId="BodyText2">
    <w:name w:val="Body Text 2"/>
    <w:basedOn w:val="Normal"/>
    <w:qFormat/>
    <w:rsid w:val="00525a97"/>
    <w:pPr>
      <w:widowControl w:val="false"/>
      <w:spacing w:lineRule="auto" w:line="480" w:before="0" w:after="120"/>
    </w:pPr>
    <w:rPr>
      <w:rFonts w:ascii="Times New Roman" w:hAnsi="Times New Roman"/>
      <w:sz w:val="20"/>
      <w:szCs w:val="20"/>
    </w:rPr>
  </w:style>
  <w:style w:type="numbering" w:styleId="NoList" w:default="1">
    <w:name w:val="No List"/>
    <w:uiPriority w:val="99"/>
    <w:semiHidden/>
    <w:unhideWhenUsed/>
    <w:qFormat/>
  </w:style>
  <w:style w:type="numbering" w:styleId="WW8Num1" w:customStyle="1">
    <w:name w:val="WW8Num1"/>
    <w:qFormat/>
    <w:rsid w:val="00525a97"/>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23466EC1689D15AA253F4D4099C41D63DC5B23AE7B69274D8482D3B595EC36AB416B533E04C9rAZEH"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66D3F-ED4C-40E8-8112-8ED4EC22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Application>LibreOffice/6.0.3.2$Windows_x86 LibreOffice_project/8f48d515416608e3a835360314dac7e47fd0b821</Application>
  <Pages>4</Pages>
  <Words>704</Words>
  <Characters>5632</Characters>
  <CharactersWithSpaces>6507</CharactersWithSpaces>
  <Paragraphs>54</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2019-09-03T11:28:00Z</dcterms:created>
  <dc:creator>ConsultantPlus</dc:creator>
  <dc:description/>
  <dc:language>ru-RU</dc:language>
  <cp:lastModifiedBy/>
  <cp:lastPrinted>2019-11-06T11:02:00Z</cp:lastPrinted>
  <dcterms:modified xsi:type="dcterms:W3CDTF">2019-11-07T16:17:40Z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